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40F" w:rsidRDefault="005C240F"/>
    <w:p w:rsidR="005C240F" w:rsidRDefault="005C240F" w:rsidP="00FB6910">
      <w:pPr>
        <w:jc w:val="center"/>
      </w:pPr>
    </w:p>
    <w:p w:rsidR="00FB6910" w:rsidRDefault="00FB6910" w:rsidP="00C950C5">
      <w:pPr>
        <w:pStyle w:val="NoSpacing"/>
        <w:ind w:right="4" w:firstLine="426"/>
        <w:jc w:val="center"/>
        <w:rPr>
          <w:rFonts w:cstheme="minorHAnsi"/>
          <w:b/>
        </w:rPr>
      </w:pPr>
      <w:bookmarkStart w:id="0" w:name="_GoBack"/>
      <w:r w:rsidRPr="00C950C5">
        <w:rPr>
          <w:rFonts w:cstheme="minorHAnsi"/>
          <w:b/>
        </w:rPr>
        <w:t xml:space="preserve">Terms of Reference for Setting up a Geographic Information System (Interactive Map) for </w:t>
      </w:r>
      <w:r w:rsidR="005049F8">
        <w:rPr>
          <w:rFonts w:cstheme="minorHAnsi"/>
          <w:b/>
        </w:rPr>
        <w:t xml:space="preserve">INGO </w:t>
      </w:r>
      <w:r w:rsidRPr="00C950C5">
        <w:rPr>
          <w:rFonts w:cstheme="minorHAnsi"/>
          <w:b/>
        </w:rPr>
        <w:t>Education Consortium</w:t>
      </w:r>
    </w:p>
    <w:bookmarkEnd w:id="0"/>
    <w:p w:rsidR="00C950C5" w:rsidRPr="00C950C5" w:rsidRDefault="00C950C5" w:rsidP="00FB6910">
      <w:pPr>
        <w:pStyle w:val="NoSpacing"/>
        <w:ind w:right="4"/>
        <w:jc w:val="center"/>
        <w:rPr>
          <w:rFonts w:cstheme="minorHAnsi"/>
          <w:b/>
        </w:rPr>
      </w:pPr>
    </w:p>
    <w:p w:rsidR="00FA1702" w:rsidRPr="00C950C5" w:rsidRDefault="00FA1702" w:rsidP="002F7B15">
      <w:pPr>
        <w:spacing w:line="276" w:lineRule="auto"/>
        <w:jc w:val="both"/>
        <w:rPr>
          <w:rFonts w:cstheme="minorHAnsi"/>
        </w:rPr>
      </w:pPr>
      <w:r w:rsidRPr="00C950C5">
        <w:rPr>
          <w:rFonts w:cstheme="minorHAnsi"/>
        </w:rPr>
        <w:t>With funding from European Union Civil Protection and Humanitarian Aid (ECHO), Finn Church Aid (FCA), Norwegian Refugee Council (NRC), Save the Children (SC) and War Child Holland (WCH), are implementing a harmonised approach to Accelerated Education Programming (AEP) in Uganda. The project is implemented across three districts in West Nile, Northern Uganda, and offers the opportunity for conflict-affected children to learn and develop their potential in inclusive and protective education in emergencies (</w:t>
      </w:r>
      <w:proofErr w:type="spellStart"/>
      <w:r w:rsidRPr="00C950C5">
        <w:rPr>
          <w:rFonts w:cstheme="minorHAnsi"/>
        </w:rPr>
        <w:t>EiE</w:t>
      </w:r>
      <w:proofErr w:type="spellEnd"/>
      <w:r w:rsidRPr="00C950C5">
        <w:rPr>
          <w:rFonts w:cstheme="minorHAnsi"/>
        </w:rPr>
        <w:t xml:space="preserve">) systems. </w:t>
      </w:r>
    </w:p>
    <w:p w:rsidR="00FA1702" w:rsidRPr="00C950C5" w:rsidRDefault="00FA1702" w:rsidP="002F7B15">
      <w:pPr>
        <w:spacing w:line="276" w:lineRule="auto"/>
        <w:jc w:val="both"/>
        <w:rPr>
          <w:rFonts w:cstheme="minorHAnsi"/>
        </w:rPr>
      </w:pPr>
      <w:r w:rsidRPr="00C950C5">
        <w:rPr>
          <w:rFonts w:cstheme="minorHAnsi"/>
        </w:rPr>
        <w:t>The ECHO INCLUDE project (</w:t>
      </w:r>
      <w:proofErr w:type="spellStart"/>
      <w:r w:rsidRPr="00C950C5">
        <w:rPr>
          <w:rFonts w:cstheme="minorHAnsi"/>
          <w:b/>
          <w:i/>
        </w:rPr>
        <w:t>INnovative</w:t>
      </w:r>
      <w:proofErr w:type="spellEnd"/>
      <w:r w:rsidRPr="00C950C5">
        <w:rPr>
          <w:rFonts w:cstheme="minorHAnsi"/>
          <w:b/>
          <w:i/>
        </w:rPr>
        <w:t xml:space="preserve"> and </w:t>
      </w:r>
      <w:proofErr w:type="spellStart"/>
      <w:r w:rsidRPr="00C950C5">
        <w:rPr>
          <w:rFonts w:cstheme="minorHAnsi"/>
          <w:b/>
          <w:i/>
        </w:rPr>
        <w:t>inCLUsive</w:t>
      </w:r>
      <w:proofErr w:type="spellEnd"/>
      <w:r w:rsidRPr="00C950C5">
        <w:rPr>
          <w:rFonts w:cstheme="minorHAnsi"/>
          <w:b/>
          <w:i/>
        </w:rPr>
        <w:t xml:space="preserve"> accelerated </w:t>
      </w:r>
      <w:proofErr w:type="spellStart"/>
      <w:r w:rsidRPr="00C950C5">
        <w:rPr>
          <w:rFonts w:cstheme="minorHAnsi"/>
          <w:b/>
          <w:i/>
        </w:rPr>
        <w:t>eDucation</w:t>
      </w:r>
      <w:proofErr w:type="spellEnd"/>
      <w:r w:rsidRPr="00C950C5">
        <w:rPr>
          <w:rFonts w:cstheme="minorHAnsi"/>
          <w:b/>
          <w:i/>
        </w:rPr>
        <w:t xml:space="preserve"> </w:t>
      </w:r>
      <w:proofErr w:type="spellStart"/>
      <w:r w:rsidRPr="00C950C5">
        <w:rPr>
          <w:rFonts w:cstheme="minorHAnsi"/>
          <w:b/>
          <w:i/>
        </w:rPr>
        <w:t>programmE</w:t>
      </w:r>
      <w:proofErr w:type="spellEnd"/>
      <w:r w:rsidRPr="00C950C5">
        <w:rPr>
          <w:rFonts w:cstheme="minorHAnsi"/>
          <w:b/>
          <w:i/>
        </w:rPr>
        <w:t xml:space="preserve"> for refugee and host </w:t>
      </w:r>
      <w:r w:rsidRPr="00C950C5">
        <w:rPr>
          <w:rFonts w:cstheme="minorHAnsi"/>
        </w:rPr>
        <w:t xml:space="preserve">is a 15 </w:t>
      </w:r>
      <w:r w:rsidR="002F7B15" w:rsidRPr="00C950C5">
        <w:rPr>
          <w:rFonts w:cstheme="minorHAnsi"/>
        </w:rPr>
        <w:t xml:space="preserve">months’ </w:t>
      </w:r>
      <w:r w:rsidRPr="00C950C5">
        <w:rPr>
          <w:rFonts w:cstheme="minorHAnsi"/>
        </w:rPr>
        <w:t>education in emergencies (</w:t>
      </w:r>
      <w:proofErr w:type="spellStart"/>
      <w:r w:rsidRPr="00C950C5">
        <w:rPr>
          <w:rFonts w:cstheme="minorHAnsi"/>
        </w:rPr>
        <w:t>EiE</w:t>
      </w:r>
      <w:proofErr w:type="spellEnd"/>
      <w:r w:rsidRPr="00C950C5">
        <w:rPr>
          <w:rFonts w:cstheme="minorHAnsi"/>
        </w:rPr>
        <w:t xml:space="preserve">) grant starting in February 2018 and ending April 2019. The project is being implemented in three (out of a total of 12) refugee hosting districts in Uganda: </w:t>
      </w:r>
      <w:proofErr w:type="spellStart"/>
      <w:r w:rsidRPr="00C950C5">
        <w:rPr>
          <w:rFonts w:cstheme="minorHAnsi"/>
        </w:rPr>
        <w:t>Arua</w:t>
      </w:r>
      <w:proofErr w:type="spellEnd"/>
      <w:r w:rsidRPr="00C950C5">
        <w:rPr>
          <w:rFonts w:cstheme="minorHAnsi"/>
        </w:rPr>
        <w:t xml:space="preserve">, </w:t>
      </w:r>
      <w:proofErr w:type="spellStart"/>
      <w:r w:rsidRPr="00C950C5">
        <w:rPr>
          <w:rFonts w:cstheme="minorHAnsi"/>
        </w:rPr>
        <w:t>Yumbe</w:t>
      </w:r>
      <w:proofErr w:type="spellEnd"/>
      <w:r w:rsidRPr="00C950C5">
        <w:rPr>
          <w:rFonts w:cstheme="minorHAnsi"/>
        </w:rPr>
        <w:t xml:space="preserve"> and </w:t>
      </w:r>
      <w:proofErr w:type="spellStart"/>
      <w:r w:rsidRPr="00C950C5">
        <w:rPr>
          <w:rFonts w:cstheme="minorHAnsi"/>
        </w:rPr>
        <w:t>Moyo</w:t>
      </w:r>
      <w:proofErr w:type="spellEnd"/>
      <w:r w:rsidRPr="00C950C5">
        <w:rPr>
          <w:rFonts w:cstheme="minorHAnsi"/>
        </w:rPr>
        <w:t xml:space="preserve">. Across the three districts, the project is implemented in five settlements: </w:t>
      </w:r>
      <w:proofErr w:type="spellStart"/>
      <w:r w:rsidRPr="00C950C5">
        <w:rPr>
          <w:rFonts w:cstheme="minorHAnsi"/>
        </w:rPr>
        <w:t>Imvepi</w:t>
      </w:r>
      <w:proofErr w:type="spellEnd"/>
      <w:r w:rsidRPr="00C950C5">
        <w:rPr>
          <w:rFonts w:cstheme="minorHAnsi"/>
        </w:rPr>
        <w:t xml:space="preserve">, Rhino and </w:t>
      </w:r>
      <w:proofErr w:type="spellStart"/>
      <w:r w:rsidRPr="00C950C5">
        <w:rPr>
          <w:rFonts w:cstheme="minorHAnsi"/>
        </w:rPr>
        <w:t>Omugo</w:t>
      </w:r>
      <w:proofErr w:type="spellEnd"/>
      <w:r w:rsidRPr="00C950C5">
        <w:rPr>
          <w:rFonts w:cstheme="minorHAnsi"/>
        </w:rPr>
        <w:t xml:space="preserve"> (also referred to as Rhino Extension) in </w:t>
      </w:r>
      <w:proofErr w:type="spellStart"/>
      <w:r w:rsidRPr="00C950C5">
        <w:rPr>
          <w:rFonts w:cstheme="minorHAnsi"/>
        </w:rPr>
        <w:t>Arua</w:t>
      </w:r>
      <w:proofErr w:type="spellEnd"/>
      <w:r w:rsidRPr="00C950C5">
        <w:rPr>
          <w:rFonts w:cstheme="minorHAnsi"/>
        </w:rPr>
        <w:t xml:space="preserve">, Bidi </w:t>
      </w:r>
      <w:proofErr w:type="spellStart"/>
      <w:r w:rsidRPr="00C950C5">
        <w:rPr>
          <w:rFonts w:cstheme="minorHAnsi"/>
        </w:rPr>
        <w:t>Bidi</w:t>
      </w:r>
      <w:proofErr w:type="spellEnd"/>
      <w:r w:rsidRPr="00C950C5">
        <w:rPr>
          <w:rFonts w:cstheme="minorHAnsi"/>
        </w:rPr>
        <w:t xml:space="preserve"> in </w:t>
      </w:r>
      <w:proofErr w:type="spellStart"/>
      <w:r w:rsidRPr="00C950C5">
        <w:rPr>
          <w:rFonts w:cstheme="minorHAnsi"/>
        </w:rPr>
        <w:t>Yumbe</w:t>
      </w:r>
      <w:proofErr w:type="spellEnd"/>
      <w:r w:rsidRPr="00C950C5">
        <w:rPr>
          <w:rFonts w:cstheme="minorHAnsi"/>
        </w:rPr>
        <w:t xml:space="preserve"> and </w:t>
      </w:r>
      <w:proofErr w:type="spellStart"/>
      <w:r w:rsidRPr="00C950C5">
        <w:rPr>
          <w:rFonts w:cstheme="minorHAnsi"/>
        </w:rPr>
        <w:t>Palorinya</w:t>
      </w:r>
      <w:proofErr w:type="spellEnd"/>
      <w:r w:rsidRPr="00C950C5">
        <w:rPr>
          <w:rFonts w:cstheme="minorHAnsi"/>
        </w:rPr>
        <w:t xml:space="preserve"> in </w:t>
      </w:r>
      <w:proofErr w:type="spellStart"/>
      <w:r w:rsidRPr="00C950C5">
        <w:rPr>
          <w:rFonts w:cstheme="minorHAnsi"/>
        </w:rPr>
        <w:t>Moyo</w:t>
      </w:r>
      <w:proofErr w:type="spellEnd"/>
      <w:r w:rsidRPr="00C950C5">
        <w:rPr>
          <w:rFonts w:cstheme="minorHAnsi"/>
        </w:rPr>
        <w:t xml:space="preserve">. The project has three Result areas: </w:t>
      </w:r>
    </w:p>
    <w:p w:rsidR="00FA1702" w:rsidRPr="00C950C5" w:rsidRDefault="00FA1702" w:rsidP="002F7B15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C950C5">
        <w:rPr>
          <w:rFonts w:cstheme="minorHAnsi"/>
        </w:rPr>
        <w:t xml:space="preserve">Conflict-affected children (host and refugee) access quality and protective accelerated learning opportunities including Can't Wait </w:t>
      </w:r>
      <w:proofErr w:type="gramStart"/>
      <w:r w:rsidRPr="00C950C5">
        <w:rPr>
          <w:rFonts w:cstheme="minorHAnsi"/>
        </w:rPr>
        <w:t>To</w:t>
      </w:r>
      <w:proofErr w:type="gramEnd"/>
      <w:r w:rsidRPr="00C950C5">
        <w:rPr>
          <w:rFonts w:cstheme="minorHAnsi"/>
        </w:rPr>
        <w:t xml:space="preserve"> Learn (CWTL)</w:t>
      </w:r>
    </w:p>
    <w:p w:rsidR="00FA1702" w:rsidRPr="00C950C5" w:rsidRDefault="00FA1702" w:rsidP="002F7B15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C950C5">
        <w:rPr>
          <w:rFonts w:cstheme="minorHAnsi"/>
        </w:rPr>
        <w:t>School-aged refugee and host-community children benefit from psychosocial support and protection services at Accelerated Education centres</w:t>
      </w:r>
    </w:p>
    <w:p w:rsidR="00FA1702" w:rsidRPr="00ED0A0F" w:rsidRDefault="00FA1702" w:rsidP="00ED0A0F">
      <w:pPr>
        <w:pStyle w:val="ListParagraph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C950C5">
        <w:rPr>
          <w:rFonts w:cstheme="minorHAnsi"/>
        </w:rPr>
        <w:t>Government and NGO systems are strengthened to deliver quality Accelerated Education in line with the global AE Principles, including Can't Wait to Learn at district government, and community levels</w:t>
      </w:r>
    </w:p>
    <w:p w:rsidR="005C240F" w:rsidRPr="00C950C5" w:rsidRDefault="005C240F" w:rsidP="0088064D">
      <w:pPr>
        <w:shd w:val="clear" w:color="auto" w:fill="D0CECE" w:themeFill="background2" w:themeFillShade="E6"/>
        <w:rPr>
          <w:rFonts w:cstheme="minorHAnsi"/>
          <w:b/>
        </w:rPr>
      </w:pPr>
      <w:r w:rsidRPr="00C950C5">
        <w:rPr>
          <w:rFonts w:cstheme="minorHAnsi"/>
          <w:b/>
        </w:rPr>
        <w:t xml:space="preserve">GIS Mapping </w:t>
      </w:r>
      <w:r w:rsidR="0088064D">
        <w:rPr>
          <w:rFonts w:cstheme="minorHAnsi"/>
          <w:b/>
        </w:rPr>
        <w:t>Concept</w:t>
      </w:r>
      <w:r w:rsidR="00364023" w:rsidRPr="00C950C5">
        <w:rPr>
          <w:rFonts w:cstheme="minorHAnsi"/>
          <w:b/>
        </w:rPr>
        <w:t xml:space="preserve"> </w:t>
      </w:r>
      <w:r w:rsidR="00BC4847" w:rsidRPr="00C950C5">
        <w:rPr>
          <w:rFonts w:cstheme="minorHAnsi"/>
          <w:b/>
        </w:rPr>
        <w:t xml:space="preserve"> </w:t>
      </w:r>
    </w:p>
    <w:p w:rsidR="00BC4847" w:rsidRPr="00C950C5" w:rsidRDefault="00BC4847">
      <w:pPr>
        <w:rPr>
          <w:rFonts w:cstheme="minorHAnsi"/>
        </w:rPr>
      </w:pPr>
      <w:r w:rsidRPr="00C950C5">
        <w:rPr>
          <w:rFonts w:cstheme="minorHAnsi"/>
        </w:rPr>
        <w:t xml:space="preserve">The objective of visualising information </w:t>
      </w:r>
      <w:r w:rsidR="0088064D">
        <w:rPr>
          <w:rFonts w:cstheme="minorHAnsi"/>
        </w:rPr>
        <w:t xml:space="preserve">for the </w:t>
      </w:r>
      <w:r w:rsidR="005049F8">
        <w:rPr>
          <w:rFonts w:cstheme="minorHAnsi"/>
        </w:rPr>
        <w:t xml:space="preserve">INGO </w:t>
      </w:r>
      <w:r w:rsidR="0088064D">
        <w:rPr>
          <w:rFonts w:cstheme="minorHAnsi"/>
        </w:rPr>
        <w:t xml:space="preserve">Education Consortium </w:t>
      </w:r>
      <w:r w:rsidRPr="00C950C5">
        <w:rPr>
          <w:rFonts w:cstheme="minorHAnsi"/>
        </w:rPr>
        <w:t>would b</w:t>
      </w:r>
      <w:r w:rsidR="0088064D">
        <w:rPr>
          <w:rFonts w:cstheme="minorHAnsi"/>
        </w:rPr>
        <w:t>e;</w:t>
      </w:r>
    </w:p>
    <w:p w:rsidR="00BC4847" w:rsidRPr="00C950C5" w:rsidRDefault="00BC4847" w:rsidP="00BC4847">
      <w:pPr>
        <w:pStyle w:val="ListParagraph"/>
        <w:numPr>
          <w:ilvl w:val="0"/>
          <w:numId w:val="1"/>
        </w:numPr>
        <w:rPr>
          <w:rFonts w:cstheme="minorHAnsi"/>
        </w:rPr>
      </w:pPr>
      <w:r w:rsidRPr="00C950C5">
        <w:rPr>
          <w:rFonts w:cstheme="minorHAnsi"/>
          <w:b/>
        </w:rPr>
        <w:t>Ease operations</w:t>
      </w:r>
      <w:r w:rsidRPr="00C950C5">
        <w:rPr>
          <w:rFonts w:cstheme="minorHAnsi"/>
        </w:rPr>
        <w:t xml:space="preserve"> for implementing partners </w:t>
      </w:r>
    </w:p>
    <w:p w:rsidR="00581D58" w:rsidRPr="00C950C5" w:rsidRDefault="00581D58" w:rsidP="00AA2E2C">
      <w:pPr>
        <w:pStyle w:val="ListParagraph"/>
        <w:numPr>
          <w:ilvl w:val="1"/>
          <w:numId w:val="1"/>
        </w:numPr>
        <w:rPr>
          <w:rFonts w:cstheme="minorHAnsi"/>
        </w:rPr>
      </w:pPr>
      <w:r w:rsidRPr="00C950C5">
        <w:rPr>
          <w:rFonts w:cstheme="minorHAnsi"/>
        </w:rPr>
        <w:t>Inform distance between centres for logistics, planning and transport purposes (for example, for baseline / end</w:t>
      </w:r>
      <w:r w:rsidR="004D7A07" w:rsidRPr="00C950C5">
        <w:rPr>
          <w:rFonts w:cstheme="minorHAnsi"/>
        </w:rPr>
        <w:t>-</w:t>
      </w:r>
      <w:r w:rsidRPr="00C950C5">
        <w:rPr>
          <w:rFonts w:cstheme="minorHAnsi"/>
        </w:rPr>
        <w:t xml:space="preserve">line, monitoring, Team Up activities and Can’t Wait to Learn installation) </w:t>
      </w:r>
    </w:p>
    <w:p w:rsidR="00073F00" w:rsidRPr="00C950C5" w:rsidRDefault="00073F00" w:rsidP="00581D58">
      <w:pPr>
        <w:pStyle w:val="ListParagraph"/>
        <w:numPr>
          <w:ilvl w:val="1"/>
          <w:numId w:val="1"/>
        </w:numPr>
        <w:rPr>
          <w:rFonts w:cstheme="minorHAnsi"/>
        </w:rPr>
      </w:pPr>
      <w:r w:rsidRPr="00C950C5">
        <w:rPr>
          <w:rFonts w:cstheme="minorHAnsi"/>
        </w:rPr>
        <w:t xml:space="preserve">Central point of information regarding what is happening at each school to inform day to day monitoring </w:t>
      </w:r>
      <w:r w:rsidR="0072586C" w:rsidRPr="00C950C5">
        <w:rPr>
          <w:rFonts w:cstheme="minorHAnsi"/>
        </w:rPr>
        <w:t xml:space="preserve">and decision making </w:t>
      </w:r>
    </w:p>
    <w:p w:rsidR="00BC4847" w:rsidRPr="00C950C5" w:rsidRDefault="00BC4847" w:rsidP="00BC4847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C950C5">
        <w:rPr>
          <w:rFonts w:cstheme="minorHAnsi"/>
          <w:b/>
        </w:rPr>
        <w:t>Inform advocacy</w:t>
      </w:r>
      <w:r w:rsidRPr="00C950C5">
        <w:rPr>
          <w:rFonts w:cstheme="minorHAnsi"/>
        </w:rPr>
        <w:t xml:space="preserve"> with key stakeholders </w:t>
      </w:r>
    </w:p>
    <w:p w:rsidR="00581D58" w:rsidRPr="00C950C5" w:rsidRDefault="00581D58" w:rsidP="00581D58">
      <w:pPr>
        <w:pStyle w:val="ListParagraph"/>
        <w:numPr>
          <w:ilvl w:val="1"/>
          <w:numId w:val="1"/>
        </w:numPr>
        <w:rPr>
          <w:rFonts w:cstheme="minorHAnsi"/>
          <w:b/>
        </w:rPr>
      </w:pPr>
      <w:r w:rsidRPr="00C950C5">
        <w:rPr>
          <w:rFonts w:cstheme="minorHAnsi"/>
        </w:rPr>
        <w:t xml:space="preserve">Demonstrate scale and scope of activities and highlight key gaps in interventions and needs at community level </w:t>
      </w:r>
    </w:p>
    <w:p w:rsidR="00BC4847" w:rsidRPr="00C950C5" w:rsidRDefault="00BC4847" w:rsidP="00BC4847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C950C5">
        <w:rPr>
          <w:rFonts w:cstheme="minorHAnsi"/>
          <w:b/>
        </w:rPr>
        <w:t xml:space="preserve">Planning and design </w:t>
      </w:r>
      <w:r w:rsidRPr="00C950C5">
        <w:rPr>
          <w:rFonts w:cstheme="minorHAnsi"/>
        </w:rPr>
        <w:t xml:space="preserve">for current and future education partners </w:t>
      </w:r>
    </w:p>
    <w:p w:rsidR="00073F00" w:rsidRPr="00747F2A" w:rsidRDefault="00581D58" w:rsidP="00073F00">
      <w:pPr>
        <w:pStyle w:val="ListParagraph"/>
        <w:numPr>
          <w:ilvl w:val="1"/>
          <w:numId w:val="1"/>
        </w:numPr>
        <w:rPr>
          <w:rFonts w:cstheme="minorHAnsi"/>
          <w:b/>
        </w:rPr>
      </w:pPr>
      <w:r w:rsidRPr="00C950C5">
        <w:rPr>
          <w:rFonts w:cstheme="minorHAnsi"/>
        </w:rPr>
        <w:t xml:space="preserve">At quick glance, identify over-crowded schools to inform locations for future projects </w:t>
      </w:r>
    </w:p>
    <w:p w:rsidR="00747F2A" w:rsidRPr="0088064D" w:rsidRDefault="00747F2A" w:rsidP="00747F2A">
      <w:pPr>
        <w:pStyle w:val="ListParagraph"/>
        <w:ind w:left="1080"/>
        <w:rPr>
          <w:rFonts w:cstheme="minorHAnsi"/>
          <w:b/>
        </w:rPr>
      </w:pPr>
    </w:p>
    <w:p w:rsidR="0088064D" w:rsidRDefault="0088064D" w:rsidP="0088064D">
      <w:pPr>
        <w:rPr>
          <w:rFonts w:cstheme="minorHAnsi"/>
          <w:b/>
        </w:rPr>
      </w:pPr>
    </w:p>
    <w:p w:rsidR="0088064D" w:rsidRPr="0088064D" w:rsidRDefault="0088064D" w:rsidP="0088064D">
      <w:pPr>
        <w:rPr>
          <w:rFonts w:cstheme="minorHAnsi"/>
          <w:b/>
        </w:rPr>
      </w:pPr>
    </w:p>
    <w:p w:rsidR="00073F00" w:rsidRPr="00C950C5" w:rsidRDefault="00BC4847" w:rsidP="00073F00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C950C5">
        <w:rPr>
          <w:rFonts w:cstheme="minorHAnsi"/>
          <w:b/>
        </w:rPr>
        <w:t xml:space="preserve">Reporting </w:t>
      </w:r>
      <w:r w:rsidRPr="00C950C5">
        <w:rPr>
          <w:rFonts w:cstheme="minorHAnsi"/>
        </w:rPr>
        <w:t xml:space="preserve">to donors and key stakeholders </w:t>
      </w:r>
    </w:p>
    <w:p w:rsidR="00C950C5" w:rsidRDefault="00073F00" w:rsidP="00C950C5">
      <w:pPr>
        <w:pStyle w:val="ListParagraph"/>
        <w:numPr>
          <w:ilvl w:val="1"/>
          <w:numId w:val="1"/>
        </w:numPr>
        <w:rPr>
          <w:rFonts w:cstheme="minorHAnsi"/>
        </w:rPr>
      </w:pPr>
      <w:r w:rsidRPr="00C950C5">
        <w:rPr>
          <w:rFonts w:cstheme="minorHAnsi"/>
        </w:rPr>
        <w:t xml:space="preserve">Visualise the scale and scope of the INGO Education Consortium activities </w:t>
      </w:r>
    </w:p>
    <w:p w:rsidR="0088064D" w:rsidRPr="0088064D" w:rsidRDefault="0088064D" w:rsidP="0088064D">
      <w:pPr>
        <w:shd w:val="clear" w:color="auto" w:fill="D0CECE" w:themeFill="background2" w:themeFillShade="E6"/>
        <w:rPr>
          <w:rFonts w:cstheme="minorHAnsi"/>
          <w:b/>
        </w:rPr>
      </w:pPr>
      <w:r w:rsidRPr="0088064D">
        <w:rPr>
          <w:rFonts w:cstheme="minorHAnsi"/>
          <w:b/>
        </w:rPr>
        <w:t>Scope of the Work</w:t>
      </w:r>
    </w:p>
    <w:p w:rsidR="001070D6" w:rsidRPr="00C950C5" w:rsidRDefault="0088064D" w:rsidP="001070D6">
      <w:pPr>
        <w:rPr>
          <w:rFonts w:cstheme="minorHAnsi"/>
        </w:rPr>
      </w:pPr>
      <w:r>
        <w:rPr>
          <w:rFonts w:cstheme="minorHAnsi"/>
        </w:rPr>
        <w:t>The consultant will build a</w:t>
      </w:r>
      <w:r w:rsidR="001070D6" w:rsidRPr="00C950C5">
        <w:rPr>
          <w:rFonts w:cstheme="minorHAnsi"/>
        </w:rPr>
        <w:t xml:space="preserve">n interactive </w:t>
      </w:r>
      <w:r w:rsidR="0050287B">
        <w:rPr>
          <w:rFonts w:cstheme="minorHAnsi"/>
        </w:rPr>
        <w:t>product -</w:t>
      </w:r>
      <w:r w:rsidR="001070D6" w:rsidRPr="00C950C5">
        <w:rPr>
          <w:rFonts w:cstheme="minorHAnsi"/>
        </w:rPr>
        <w:t>3Ws (Who is doing What</w:t>
      </w:r>
      <w:r>
        <w:rPr>
          <w:rFonts w:cstheme="minorHAnsi"/>
        </w:rPr>
        <w:t xml:space="preserve">, Where) map for the Education Consortium to </w:t>
      </w:r>
      <w:r w:rsidR="001070D6" w:rsidRPr="00C950C5">
        <w:rPr>
          <w:rFonts w:cstheme="minorHAnsi"/>
        </w:rPr>
        <w:t xml:space="preserve">visualise information, including: </w:t>
      </w:r>
    </w:p>
    <w:p w:rsidR="001070D6" w:rsidRPr="00C950C5" w:rsidRDefault="001070D6" w:rsidP="001070D6">
      <w:pPr>
        <w:pStyle w:val="ListParagraph"/>
        <w:numPr>
          <w:ilvl w:val="0"/>
          <w:numId w:val="2"/>
        </w:numPr>
        <w:rPr>
          <w:rFonts w:cstheme="minorHAnsi"/>
        </w:rPr>
      </w:pPr>
      <w:r w:rsidRPr="00C950C5">
        <w:rPr>
          <w:rFonts w:cstheme="minorHAnsi"/>
        </w:rPr>
        <w:t xml:space="preserve">GPS location of </w:t>
      </w:r>
      <w:r w:rsidR="00BA126D" w:rsidRPr="00C950C5">
        <w:rPr>
          <w:rFonts w:cstheme="minorHAnsi"/>
        </w:rPr>
        <w:t xml:space="preserve">AEP Centres, transition options and referral options </w:t>
      </w:r>
    </w:p>
    <w:p w:rsidR="00364023" w:rsidRPr="00C950C5" w:rsidRDefault="0088064D" w:rsidP="001070D6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AEP centres a</w:t>
      </w:r>
      <w:r w:rsidR="00364023" w:rsidRPr="00C950C5">
        <w:rPr>
          <w:rFonts w:cstheme="minorHAnsi"/>
        </w:rPr>
        <w:t xml:space="preserve">ttached to formal primary school </w:t>
      </w:r>
    </w:p>
    <w:p w:rsidR="00364023" w:rsidRPr="00C950C5" w:rsidRDefault="00364023" w:rsidP="001070D6">
      <w:pPr>
        <w:pStyle w:val="ListParagraph"/>
        <w:numPr>
          <w:ilvl w:val="0"/>
          <w:numId w:val="2"/>
        </w:numPr>
        <w:rPr>
          <w:rFonts w:cstheme="minorHAnsi"/>
        </w:rPr>
      </w:pPr>
      <w:r w:rsidRPr="00C950C5">
        <w:rPr>
          <w:rFonts w:cstheme="minorHAnsi"/>
        </w:rPr>
        <w:t xml:space="preserve">Number of classrooms </w:t>
      </w:r>
      <w:r w:rsidR="0088064D">
        <w:rPr>
          <w:rFonts w:cstheme="minorHAnsi"/>
        </w:rPr>
        <w:t>for each school/centre</w:t>
      </w:r>
    </w:p>
    <w:p w:rsidR="00364023" w:rsidRPr="00C950C5" w:rsidRDefault="00364023" w:rsidP="001070D6">
      <w:pPr>
        <w:pStyle w:val="ListParagraph"/>
        <w:numPr>
          <w:ilvl w:val="0"/>
          <w:numId w:val="2"/>
        </w:numPr>
        <w:rPr>
          <w:rFonts w:cstheme="minorHAnsi"/>
        </w:rPr>
      </w:pPr>
      <w:r w:rsidRPr="00C950C5">
        <w:rPr>
          <w:rFonts w:cstheme="minorHAnsi"/>
        </w:rPr>
        <w:t>Referral pathways for children that a</w:t>
      </w:r>
      <w:r w:rsidR="00BA126D" w:rsidRPr="00C950C5">
        <w:rPr>
          <w:rFonts w:cstheme="minorHAnsi"/>
        </w:rPr>
        <w:t xml:space="preserve">re identified with unique needs with location mapped for referral options (healthcare, protection etc.) </w:t>
      </w:r>
    </w:p>
    <w:p w:rsidR="00364023" w:rsidRPr="00C950C5" w:rsidRDefault="00364023" w:rsidP="001070D6">
      <w:pPr>
        <w:pStyle w:val="ListParagraph"/>
        <w:numPr>
          <w:ilvl w:val="0"/>
          <w:numId w:val="2"/>
        </w:numPr>
        <w:rPr>
          <w:rFonts w:cstheme="minorHAnsi"/>
        </w:rPr>
      </w:pPr>
      <w:r w:rsidRPr="00C950C5">
        <w:rPr>
          <w:rFonts w:cstheme="minorHAnsi"/>
        </w:rPr>
        <w:t xml:space="preserve">Transition pathways </w:t>
      </w:r>
      <w:r w:rsidR="00BA126D" w:rsidRPr="00C950C5">
        <w:rPr>
          <w:rFonts w:cstheme="minorHAnsi"/>
        </w:rPr>
        <w:t xml:space="preserve">with locations of transition options mapped (e.g. nearby secondary school, mainstream primary school, vocational training centres) </w:t>
      </w:r>
    </w:p>
    <w:p w:rsidR="00364023" w:rsidRPr="00C950C5" w:rsidRDefault="00581D58" w:rsidP="001070D6">
      <w:pPr>
        <w:pStyle w:val="ListParagraph"/>
        <w:numPr>
          <w:ilvl w:val="0"/>
          <w:numId w:val="2"/>
        </w:numPr>
        <w:rPr>
          <w:rFonts w:cstheme="minorHAnsi"/>
        </w:rPr>
      </w:pPr>
      <w:r w:rsidRPr="00C950C5">
        <w:rPr>
          <w:rFonts w:cstheme="minorHAnsi"/>
        </w:rPr>
        <w:t xml:space="preserve">Number of learners enrolled, disaggregated by level, gender and nationality (refugee status) </w:t>
      </w:r>
    </w:p>
    <w:p w:rsidR="00581D58" w:rsidRPr="00C950C5" w:rsidRDefault="00581D58" w:rsidP="001070D6">
      <w:pPr>
        <w:pStyle w:val="ListParagraph"/>
        <w:numPr>
          <w:ilvl w:val="0"/>
          <w:numId w:val="2"/>
        </w:numPr>
        <w:rPr>
          <w:rFonts w:cstheme="minorHAnsi"/>
        </w:rPr>
      </w:pPr>
      <w:r w:rsidRPr="00C950C5">
        <w:rPr>
          <w:rFonts w:cstheme="minorHAnsi"/>
        </w:rPr>
        <w:t xml:space="preserve">Number of teachers, disaggregated by type (teacher, assistant teacher), gender and nationality (refugee status) </w:t>
      </w:r>
    </w:p>
    <w:p w:rsidR="00581D58" w:rsidRPr="00C950C5" w:rsidRDefault="004D7A07" w:rsidP="001070D6">
      <w:pPr>
        <w:pStyle w:val="ListParagraph"/>
        <w:numPr>
          <w:ilvl w:val="0"/>
          <w:numId w:val="2"/>
        </w:numPr>
        <w:rPr>
          <w:rFonts w:cstheme="minorHAnsi"/>
        </w:rPr>
      </w:pPr>
      <w:r w:rsidRPr="00C950C5">
        <w:rPr>
          <w:rFonts w:cstheme="minorHAnsi"/>
        </w:rPr>
        <w:t>Teacher:</w:t>
      </w:r>
      <w:r w:rsidR="00581D58" w:rsidRPr="00C950C5">
        <w:rPr>
          <w:rFonts w:cstheme="minorHAnsi"/>
        </w:rPr>
        <w:t xml:space="preserve"> pupil ratio </w:t>
      </w:r>
    </w:p>
    <w:p w:rsidR="001070D6" w:rsidRDefault="001070D6" w:rsidP="001070D6">
      <w:pPr>
        <w:rPr>
          <w:rFonts w:cstheme="minorHAnsi"/>
        </w:rPr>
      </w:pPr>
      <w:r w:rsidRPr="00C950C5">
        <w:rPr>
          <w:rFonts w:cstheme="minorHAnsi"/>
        </w:rPr>
        <w:t xml:space="preserve">The intention is that the platform can be built now, with ease to add more locations, activities, partners and trends in future. The platform should be designed in a way that it can be paired with needs assessment data that may be mapped in future. </w:t>
      </w:r>
      <w:r w:rsidR="00ED0A0F">
        <w:rPr>
          <w:rFonts w:cstheme="minorHAnsi"/>
        </w:rPr>
        <w:t>Furthermore, the map should be able to capture local populations (AEP age group) and any other relevant trends which interacts with the education system around the schools &amp; AEP centres for the school.</w:t>
      </w:r>
    </w:p>
    <w:p w:rsidR="00ED0A0F" w:rsidRDefault="00ED0A0F" w:rsidP="001070D6">
      <w:pPr>
        <w:rPr>
          <w:rFonts w:cstheme="minorHAnsi"/>
        </w:rPr>
      </w:pPr>
      <w:r>
        <w:rPr>
          <w:rFonts w:cstheme="minorHAnsi"/>
        </w:rPr>
        <w:t>The consultant will build the capacity of the M&amp;E team for the INGO Education Consortium partners as part of the consultancy work.</w:t>
      </w:r>
    </w:p>
    <w:p w:rsidR="00747F2A" w:rsidRPr="008D5C24" w:rsidRDefault="00747F2A" w:rsidP="00747F2A">
      <w:pPr>
        <w:spacing w:after="304" w:line="240" w:lineRule="auto"/>
        <w:rPr>
          <w:sz w:val="24"/>
          <w:szCs w:val="24"/>
        </w:rPr>
      </w:pPr>
      <w:r w:rsidRPr="008D5C24">
        <w:rPr>
          <w:b/>
          <w:sz w:val="24"/>
          <w:szCs w:val="24"/>
        </w:rPr>
        <w:t>Specific Tasks</w:t>
      </w:r>
      <w:r w:rsidR="00FD411C">
        <w:rPr>
          <w:b/>
          <w:sz w:val="24"/>
          <w:szCs w:val="24"/>
        </w:rPr>
        <w:t xml:space="preserve"> for the consultant</w:t>
      </w:r>
      <w:r w:rsidRPr="008D5C24">
        <w:rPr>
          <w:b/>
          <w:sz w:val="24"/>
          <w:szCs w:val="24"/>
        </w:rPr>
        <w:t>:</w:t>
      </w:r>
    </w:p>
    <w:p w:rsidR="00747F2A" w:rsidRPr="00747F2A" w:rsidRDefault="00747F2A" w:rsidP="00747F2A">
      <w:pPr>
        <w:pStyle w:val="ListParagraph"/>
        <w:numPr>
          <w:ilvl w:val="0"/>
          <w:numId w:val="8"/>
        </w:numPr>
        <w:spacing w:after="135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Guide and advise the information management platform in terms of design, level of informat</w:t>
      </w:r>
      <w:r w:rsidR="00145DDE">
        <w:rPr>
          <w:sz w:val="24"/>
          <w:szCs w:val="24"/>
        </w:rPr>
        <w:t>ion to be embedded into the platform for Education Consortium</w:t>
      </w:r>
    </w:p>
    <w:p w:rsidR="00747F2A" w:rsidRPr="00D83467" w:rsidRDefault="00747F2A" w:rsidP="00747F2A">
      <w:pPr>
        <w:pStyle w:val="ListParagraph"/>
        <w:numPr>
          <w:ilvl w:val="0"/>
          <w:numId w:val="8"/>
        </w:numPr>
        <w:spacing w:after="135" w:line="240" w:lineRule="auto"/>
        <w:jc w:val="both"/>
        <w:rPr>
          <w:sz w:val="24"/>
          <w:szCs w:val="24"/>
        </w:rPr>
      </w:pPr>
      <w:r w:rsidRPr="00D83467">
        <w:rPr>
          <w:sz w:val="24"/>
          <w:szCs w:val="24"/>
        </w:rPr>
        <w:t>Assess and identify the key data requirements, sources and needs after reviewing existing data.</w:t>
      </w:r>
    </w:p>
    <w:p w:rsidR="00747F2A" w:rsidRPr="00D83467" w:rsidRDefault="00FD411C" w:rsidP="00747F2A">
      <w:pPr>
        <w:pStyle w:val="ListParagraph"/>
        <w:numPr>
          <w:ilvl w:val="0"/>
          <w:numId w:val="8"/>
        </w:numPr>
        <w:spacing w:after="135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Actively collect/generate the required data, map and analyse the data to build the platform complete with filters, dashboards etc</w:t>
      </w:r>
      <w:r w:rsidR="00747F2A" w:rsidRPr="00D83467">
        <w:rPr>
          <w:sz w:val="24"/>
          <w:szCs w:val="24"/>
        </w:rPr>
        <w:t>.</w:t>
      </w:r>
    </w:p>
    <w:p w:rsidR="00747F2A" w:rsidRPr="00D83467" w:rsidRDefault="00747F2A" w:rsidP="00747F2A">
      <w:pPr>
        <w:pStyle w:val="ListParagraph"/>
        <w:numPr>
          <w:ilvl w:val="0"/>
          <w:numId w:val="8"/>
        </w:numPr>
        <w:spacing w:after="135" w:line="240" w:lineRule="auto"/>
        <w:jc w:val="both"/>
        <w:rPr>
          <w:sz w:val="24"/>
          <w:szCs w:val="24"/>
        </w:rPr>
      </w:pPr>
      <w:r w:rsidRPr="00D83467">
        <w:rPr>
          <w:sz w:val="24"/>
          <w:szCs w:val="24"/>
        </w:rPr>
        <w:t xml:space="preserve">Training of </w:t>
      </w:r>
      <w:r w:rsidR="00145DDE" w:rsidRPr="00D83467">
        <w:rPr>
          <w:sz w:val="24"/>
          <w:szCs w:val="24"/>
        </w:rPr>
        <w:t>the</w:t>
      </w:r>
      <w:r w:rsidR="00145DDE">
        <w:rPr>
          <w:sz w:val="24"/>
          <w:szCs w:val="24"/>
        </w:rPr>
        <w:t xml:space="preserve"> Consortium MEAL team and CMU</w:t>
      </w:r>
      <w:r w:rsidRPr="00D83467">
        <w:rPr>
          <w:sz w:val="24"/>
          <w:szCs w:val="24"/>
        </w:rPr>
        <w:t xml:space="preserve"> to ensure</w:t>
      </w:r>
      <w:r w:rsidR="00145DDE">
        <w:rPr>
          <w:sz w:val="24"/>
          <w:szCs w:val="24"/>
        </w:rPr>
        <w:t xml:space="preserve"> that the team understands the dynamic around the </w:t>
      </w:r>
      <w:r w:rsidRPr="00D83467">
        <w:rPr>
          <w:sz w:val="24"/>
          <w:szCs w:val="24"/>
        </w:rPr>
        <w:t>entire s</w:t>
      </w:r>
      <w:r w:rsidR="00145DDE">
        <w:rPr>
          <w:sz w:val="24"/>
          <w:szCs w:val="24"/>
        </w:rPr>
        <w:t>ystem, upgrade, updates and ensure its</w:t>
      </w:r>
      <w:r w:rsidRPr="00D83467">
        <w:rPr>
          <w:sz w:val="24"/>
          <w:szCs w:val="24"/>
        </w:rPr>
        <w:t xml:space="preserve"> functional</w:t>
      </w:r>
      <w:r w:rsidR="00145DDE">
        <w:rPr>
          <w:sz w:val="24"/>
          <w:szCs w:val="24"/>
        </w:rPr>
        <w:t>ity</w:t>
      </w:r>
      <w:r w:rsidRPr="00D83467">
        <w:rPr>
          <w:sz w:val="24"/>
          <w:szCs w:val="24"/>
        </w:rPr>
        <w:t xml:space="preserve">.  </w:t>
      </w:r>
    </w:p>
    <w:p w:rsidR="00747F2A" w:rsidRDefault="0050287B" w:rsidP="00145DDE">
      <w:pPr>
        <w:pStyle w:val="ListParagraph"/>
        <w:numPr>
          <w:ilvl w:val="0"/>
          <w:numId w:val="8"/>
        </w:numPr>
        <w:spacing w:after="135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Fully deploy the product</w:t>
      </w:r>
      <w:r w:rsidR="00145DDE">
        <w:rPr>
          <w:sz w:val="24"/>
          <w:szCs w:val="24"/>
        </w:rPr>
        <w:t xml:space="preserve"> </w:t>
      </w:r>
      <w:r w:rsidR="00FD411C">
        <w:rPr>
          <w:sz w:val="24"/>
          <w:szCs w:val="24"/>
        </w:rPr>
        <w:t xml:space="preserve">giving full access to the consortium </w:t>
      </w:r>
      <w:r w:rsidR="00145DDE">
        <w:rPr>
          <w:sz w:val="24"/>
          <w:szCs w:val="24"/>
        </w:rPr>
        <w:t>and make it ready for use by the consortium</w:t>
      </w:r>
      <w:r w:rsidR="00747F2A" w:rsidRPr="00D83467">
        <w:rPr>
          <w:sz w:val="24"/>
          <w:szCs w:val="24"/>
        </w:rPr>
        <w:t xml:space="preserve">:  </w:t>
      </w:r>
    </w:p>
    <w:p w:rsidR="00FD411C" w:rsidRDefault="00FD411C" w:rsidP="00FD411C">
      <w:pPr>
        <w:spacing w:after="135" w:line="240" w:lineRule="auto"/>
        <w:jc w:val="both"/>
        <w:rPr>
          <w:sz w:val="24"/>
          <w:szCs w:val="24"/>
        </w:rPr>
      </w:pPr>
    </w:p>
    <w:p w:rsidR="00FD411C" w:rsidRDefault="00FD411C" w:rsidP="00FD411C">
      <w:pPr>
        <w:spacing w:after="135" w:line="240" w:lineRule="auto"/>
        <w:jc w:val="both"/>
        <w:rPr>
          <w:sz w:val="24"/>
          <w:szCs w:val="24"/>
        </w:rPr>
      </w:pPr>
    </w:p>
    <w:p w:rsidR="00FD411C" w:rsidRPr="00FD411C" w:rsidRDefault="00FD411C" w:rsidP="00FD411C">
      <w:pPr>
        <w:spacing w:after="135" w:line="240" w:lineRule="auto"/>
        <w:jc w:val="both"/>
        <w:rPr>
          <w:sz w:val="24"/>
          <w:szCs w:val="24"/>
        </w:rPr>
      </w:pPr>
    </w:p>
    <w:p w:rsidR="00747F2A" w:rsidRDefault="00747F2A" w:rsidP="00FD411C">
      <w:pPr>
        <w:spacing w:before="240" w:after="325" w:line="240" w:lineRule="auto"/>
        <w:jc w:val="both"/>
        <w:rPr>
          <w:sz w:val="24"/>
          <w:szCs w:val="24"/>
        </w:rPr>
      </w:pPr>
    </w:p>
    <w:p w:rsidR="00FD411C" w:rsidRPr="00412BEC" w:rsidRDefault="00FD411C" w:rsidP="00FD411C">
      <w:pPr>
        <w:spacing w:after="304" w:line="240" w:lineRule="auto"/>
        <w:rPr>
          <w:b/>
          <w:sz w:val="24"/>
          <w:szCs w:val="24"/>
        </w:rPr>
      </w:pPr>
      <w:r w:rsidRPr="00412BEC">
        <w:rPr>
          <w:b/>
          <w:sz w:val="24"/>
          <w:szCs w:val="24"/>
        </w:rPr>
        <w:t>Work scheduling:</w:t>
      </w:r>
    </w:p>
    <w:p w:rsidR="00FD411C" w:rsidRDefault="00FD411C" w:rsidP="00FD411C">
      <w:pPr>
        <w:spacing w:after="0" w:line="240" w:lineRule="auto"/>
        <w:rPr>
          <w:color w:val="FF0000"/>
          <w:sz w:val="24"/>
          <w:szCs w:val="24"/>
        </w:rPr>
      </w:pPr>
      <w:r w:rsidRPr="00412BEC">
        <w:rPr>
          <w:sz w:val="24"/>
          <w:szCs w:val="24"/>
        </w:rPr>
        <w:t>The assignment is anticipated to get accomplished as per schedule below. The consultant is expected to adopt or adjust the work plan for the assignment as shown below</w:t>
      </w:r>
      <w:r>
        <w:rPr>
          <w:sz w:val="24"/>
          <w:szCs w:val="24"/>
        </w:rPr>
        <w:t xml:space="preserve"> (though it can be adjusting in consultation with the team).</w:t>
      </w:r>
      <w:r w:rsidRPr="00412BEC">
        <w:rPr>
          <w:sz w:val="24"/>
          <w:szCs w:val="24"/>
        </w:rPr>
        <w:t xml:space="preserve"> </w:t>
      </w:r>
    </w:p>
    <w:p w:rsidR="00FD411C" w:rsidRPr="00412BEC" w:rsidRDefault="00FD411C" w:rsidP="00FD411C">
      <w:pPr>
        <w:spacing w:after="0" w:line="240" w:lineRule="auto"/>
        <w:ind w:left="626"/>
        <w:rPr>
          <w:sz w:val="24"/>
          <w:szCs w:val="24"/>
        </w:rPr>
      </w:pPr>
    </w:p>
    <w:tbl>
      <w:tblPr>
        <w:tblStyle w:val="TableGrid"/>
        <w:tblW w:w="9822" w:type="dxa"/>
        <w:tblInd w:w="113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6672"/>
        <w:gridCol w:w="2430"/>
      </w:tblGrid>
      <w:tr w:rsidR="00FD411C" w:rsidRPr="00B96D06" w:rsidTr="00FD411C">
        <w:trPr>
          <w:trHeight w:val="38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11C" w:rsidRPr="00B96D06" w:rsidRDefault="00FD411C" w:rsidP="000C1405">
            <w:pPr>
              <w:rPr>
                <w:sz w:val="24"/>
                <w:szCs w:val="24"/>
              </w:rPr>
            </w:pPr>
            <w:r w:rsidRPr="00B96D06">
              <w:rPr>
                <w:b/>
                <w:sz w:val="24"/>
                <w:szCs w:val="24"/>
              </w:rPr>
              <w:t xml:space="preserve"> #</w:t>
            </w:r>
          </w:p>
        </w:tc>
        <w:tc>
          <w:tcPr>
            <w:tcW w:w="6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11C" w:rsidRPr="00B96D06" w:rsidRDefault="00FD411C" w:rsidP="000C1405">
            <w:pPr>
              <w:ind w:left="1"/>
              <w:rPr>
                <w:sz w:val="24"/>
                <w:szCs w:val="24"/>
              </w:rPr>
            </w:pPr>
            <w:r w:rsidRPr="00B96D06">
              <w:rPr>
                <w:b/>
                <w:sz w:val="24"/>
                <w:szCs w:val="24"/>
              </w:rPr>
              <w:t>Task Stages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11C" w:rsidRPr="00B96D06" w:rsidRDefault="00FD411C" w:rsidP="000C1405">
            <w:pPr>
              <w:rPr>
                <w:sz w:val="24"/>
                <w:szCs w:val="24"/>
              </w:rPr>
            </w:pPr>
            <w:r w:rsidRPr="00B96D06">
              <w:rPr>
                <w:b/>
                <w:sz w:val="24"/>
                <w:szCs w:val="24"/>
              </w:rPr>
              <w:t>Completion Schedule</w:t>
            </w:r>
          </w:p>
        </w:tc>
      </w:tr>
      <w:tr w:rsidR="00FD411C" w:rsidRPr="00B96D06" w:rsidTr="00FD411C">
        <w:trPr>
          <w:trHeight w:val="38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11C" w:rsidRPr="00B96D06" w:rsidRDefault="00FD411C" w:rsidP="000C1405">
            <w:pPr>
              <w:rPr>
                <w:sz w:val="24"/>
                <w:szCs w:val="24"/>
              </w:rPr>
            </w:pPr>
            <w:r w:rsidRPr="00B96D0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6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11C" w:rsidRPr="00B96D06" w:rsidRDefault="00FD411C" w:rsidP="000C1405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Selection of the consultant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11C" w:rsidRPr="00B96D06" w:rsidRDefault="00FD411C" w:rsidP="009F1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 </w:t>
            </w:r>
            <w:r w:rsidR="009F1FBB">
              <w:rPr>
                <w:sz w:val="24"/>
                <w:szCs w:val="24"/>
              </w:rPr>
              <w:t>22nd</w:t>
            </w:r>
            <w:r>
              <w:rPr>
                <w:sz w:val="24"/>
                <w:szCs w:val="24"/>
              </w:rPr>
              <w:t xml:space="preserve"> February 2019</w:t>
            </w:r>
          </w:p>
        </w:tc>
      </w:tr>
      <w:tr w:rsidR="00FD411C" w:rsidRPr="00B96D06" w:rsidTr="00FD411C">
        <w:trPr>
          <w:trHeight w:val="38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11C" w:rsidRPr="00B96D06" w:rsidRDefault="00FD411C" w:rsidP="00FD411C">
            <w:pPr>
              <w:rPr>
                <w:sz w:val="24"/>
                <w:szCs w:val="24"/>
              </w:rPr>
            </w:pPr>
            <w:r w:rsidRPr="00B96D06">
              <w:rPr>
                <w:sz w:val="24"/>
                <w:szCs w:val="24"/>
              </w:rPr>
              <w:t>2.</w:t>
            </w:r>
          </w:p>
        </w:tc>
        <w:tc>
          <w:tcPr>
            <w:tcW w:w="6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11C" w:rsidRPr="00B96D06" w:rsidRDefault="00FD411C" w:rsidP="00FD411C">
            <w:pPr>
              <w:ind w:left="1"/>
              <w:rPr>
                <w:sz w:val="24"/>
                <w:szCs w:val="24"/>
              </w:rPr>
            </w:pPr>
            <w:r w:rsidRPr="00B96D06">
              <w:rPr>
                <w:sz w:val="24"/>
                <w:szCs w:val="24"/>
              </w:rPr>
              <w:t xml:space="preserve">Signing of Contract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11C" w:rsidRPr="00B96D06" w:rsidRDefault="009F1FBB" w:rsidP="009F1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9F1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FD411C">
              <w:rPr>
                <w:sz w:val="24"/>
                <w:szCs w:val="24"/>
              </w:rPr>
              <w:t xml:space="preserve"> February 2019</w:t>
            </w:r>
          </w:p>
        </w:tc>
      </w:tr>
      <w:tr w:rsidR="00FD411C" w:rsidRPr="00B96D06" w:rsidTr="00FD411C">
        <w:trPr>
          <w:trHeight w:val="38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11C" w:rsidRPr="00B96D06" w:rsidRDefault="00FD411C" w:rsidP="00FD411C">
            <w:pPr>
              <w:rPr>
                <w:sz w:val="24"/>
                <w:szCs w:val="24"/>
              </w:rPr>
            </w:pPr>
            <w:r w:rsidRPr="00B96D0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6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11C" w:rsidRPr="00B96D06" w:rsidRDefault="009F1FBB" w:rsidP="009F1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and organising for the exercise between CMU &amp; consultant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11C" w:rsidRPr="00B96D06" w:rsidRDefault="009F1FBB" w:rsidP="00FD4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F1F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2019</w:t>
            </w:r>
          </w:p>
        </w:tc>
      </w:tr>
      <w:tr w:rsidR="00FD411C" w:rsidRPr="00B96D06" w:rsidTr="00FD411C">
        <w:trPr>
          <w:trHeight w:val="38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11C" w:rsidRPr="00B96D06" w:rsidRDefault="00FD411C" w:rsidP="00FD411C">
            <w:pPr>
              <w:rPr>
                <w:sz w:val="24"/>
                <w:szCs w:val="24"/>
              </w:rPr>
            </w:pPr>
            <w:r w:rsidRPr="00B96D0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6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11C" w:rsidRPr="00B96D06" w:rsidRDefault="009F1FBB" w:rsidP="00FD411C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Consultant &amp; </w:t>
            </w:r>
            <w:r w:rsidR="0050287B">
              <w:rPr>
                <w:sz w:val="24"/>
                <w:szCs w:val="24"/>
              </w:rPr>
              <w:t>assigned team gather, analyse and amalgamate geo-spatial data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11C" w:rsidRPr="00B96D06" w:rsidRDefault="009F1FBB" w:rsidP="00FD4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&amp; April 2019</w:t>
            </w:r>
          </w:p>
        </w:tc>
      </w:tr>
      <w:tr w:rsidR="0050287B" w:rsidRPr="00B96D06" w:rsidTr="00FD411C">
        <w:trPr>
          <w:trHeight w:val="38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87B" w:rsidRPr="00B96D06" w:rsidRDefault="0050287B" w:rsidP="0050287B">
            <w:pPr>
              <w:rPr>
                <w:sz w:val="24"/>
                <w:szCs w:val="24"/>
              </w:rPr>
            </w:pPr>
            <w:r w:rsidRPr="00B96D0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6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87B" w:rsidRPr="00B96D06" w:rsidRDefault="0050287B" w:rsidP="0050287B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Building and deploying the final product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87B" w:rsidRPr="00B96D06" w:rsidRDefault="0050287B" w:rsidP="00502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&amp; April 2019</w:t>
            </w:r>
          </w:p>
        </w:tc>
      </w:tr>
      <w:tr w:rsidR="0050287B" w:rsidRPr="00B96D06" w:rsidTr="00FD411C">
        <w:trPr>
          <w:trHeight w:val="38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87B" w:rsidRPr="00B96D06" w:rsidRDefault="0050287B" w:rsidP="0050287B">
            <w:pPr>
              <w:rPr>
                <w:sz w:val="24"/>
                <w:szCs w:val="24"/>
              </w:rPr>
            </w:pPr>
            <w:r w:rsidRPr="00B96D06">
              <w:rPr>
                <w:sz w:val="24"/>
                <w:szCs w:val="24"/>
              </w:rPr>
              <w:t>6.</w:t>
            </w:r>
          </w:p>
        </w:tc>
        <w:tc>
          <w:tcPr>
            <w:tcW w:w="6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87B" w:rsidRPr="00B96D06" w:rsidRDefault="0050287B" w:rsidP="0050287B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the MEAL team and CMU on GIS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87B" w:rsidRPr="00B96D06" w:rsidRDefault="0050287B" w:rsidP="00502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2019</w:t>
            </w:r>
          </w:p>
        </w:tc>
      </w:tr>
      <w:tr w:rsidR="0050287B" w:rsidRPr="00B96D06" w:rsidTr="00FD411C">
        <w:trPr>
          <w:trHeight w:val="38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87B" w:rsidRPr="00B96D06" w:rsidRDefault="0050287B" w:rsidP="0050287B">
            <w:pPr>
              <w:rPr>
                <w:sz w:val="24"/>
                <w:szCs w:val="24"/>
              </w:rPr>
            </w:pPr>
            <w:r w:rsidRPr="00B96D0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6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87B" w:rsidRPr="00B96D06" w:rsidRDefault="0050287B" w:rsidP="0050287B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Handing over the product  to CMU &amp; Partners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87B" w:rsidRPr="00B96D06" w:rsidRDefault="0050287B" w:rsidP="00502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2019</w:t>
            </w:r>
          </w:p>
        </w:tc>
      </w:tr>
    </w:tbl>
    <w:p w:rsidR="00FD411C" w:rsidRDefault="00FD411C" w:rsidP="00FD411C">
      <w:pPr>
        <w:spacing w:after="0" w:line="240" w:lineRule="auto"/>
        <w:ind w:left="631"/>
        <w:rPr>
          <w:color w:val="FF0000"/>
          <w:sz w:val="24"/>
          <w:szCs w:val="24"/>
        </w:rPr>
      </w:pPr>
    </w:p>
    <w:p w:rsidR="00747F2A" w:rsidRPr="004C5FD4" w:rsidRDefault="009F1FBB" w:rsidP="001070D6">
      <w:pPr>
        <w:rPr>
          <w:rFonts w:cstheme="minorHAnsi"/>
          <w:b/>
        </w:rPr>
      </w:pPr>
      <w:r w:rsidRPr="004C5FD4">
        <w:rPr>
          <w:rFonts w:cstheme="minorHAnsi"/>
          <w:b/>
        </w:rPr>
        <w:t>Expected output</w:t>
      </w:r>
    </w:p>
    <w:p w:rsidR="009F1FBB" w:rsidRDefault="009F1FBB" w:rsidP="001070D6">
      <w:pPr>
        <w:rPr>
          <w:rFonts w:cstheme="minorHAnsi"/>
        </w:rPr>
      </w:pPr>
      <w:r>
        <w:rPr>
          <w:rFonts w:cstheme="minorHAnsi"/>
        </w:rPr>
        <w:t xml:space="preserve">A fully functional </w:t>
      </w:r>
      <w:r w:rsidRPr="00C950C5">
        <w:rPr>
          <w:rFonts w:cstheme="minorHAnsi"/>
        </w:rPr>
        <w:t xml:space="preserve">interactive </w:t>
      </w:r>
      <w:r>
        <w:rPr>
          <w:rFonts w:cstheme="minorHAnsi"/>
        </w:rPr>
        <w:t xml:space="preserve">map with </w:t>
      </w:r>
      <w:r w:rsidRPr="00C950C5">
        <w:rPr>
          <w:rFonts w:cstheme="minorHAnsi"/>
        </w:rPr>
        <w:t>3Ws (Who is doing What</w:t>
      </w:r>
      <w:r>
        <w:rPr>
          <w:rFonts w:cstheme="minorHAnsi"/>
        </w:rPr>
        <w:t xml:space="preserve">, Where) map for the Education Consortium to </w:t>
      </w:r>
      <w:r w:rsidRPr="00C950C5">
        <w:rPr>
          <w:rFonts w:cstheme="minorHAnsi"/>
        </w:rPr>
        <w:t>visualise information</w:t>
      </w:r>
      <w:r>
        <w:rPr>
          <w:rFonts w:cstheme="minorHAnsi"/>
        </w:rPr>
        <w:t xml:space="preserve"> with all the features specified under the scope of work. However, the necessary layers or level of information on the platform will </w:t>
      </w:r>
      <w:r w:rsidR="004C5FD4">
        <w:rPr>
          <w:rFonts w:cstheme="minorHAnsi"/>
        </w:rPr>
        <w:t>supported with the consultant insight and experience on what should or should not be on the platform</w:t>
      </w:r>
      <w:r>
        <w:rPr>
          <w:rFonts w:cstheme="minorHAnsi"/>
        </w:rPr>
        <w:t xml:space="preserve"> </w:t>
      </w:r>
    </w:p>
    <w:p w:rsidR="004C5FD4" w:rsidRPr="00F229C2" w:rsidRDefault="004C5FD4" w:rsidP="004C5FD4">
      <w:pPr>
        <w:spacing w:after="0" w:line="240" w:lineRule="auto"/>
        <w:ind w:left="360"/>
        <w:rPr>
          <w:sz w:val="24"/>
          <w:szCs w:val="24"/>
        </w:rPr>
      </w:pPr>
      <w:r w:rsidRPr="00F229C2">
        <w:rPr>
          <w:b/>
          <w:sz w:val="24"/>
          <w:szCs w:val="24"/>
        </w:rPr>
        <w:t>Professional skills and qualifications of the consultant team</w:t>
      </w:r>
      <w:r w:rsidRPr="00F229C2">
        <w:t xml:space="preserve"> </w:t>
      </w:r>
      <w:r w:rsidRPr="00F229C2">
        <w:rPr>
          <w:b/>
        </w:rPr>
        <w:t xml:space="preserve">indicated on </w:t>
      </w:r>
      <w:r w:rsidRPr="00F229C2">
        <w:rPr>
          <w:b/>
          <w:sz w:val="24"/>
          <w:szCs w:val="24"/>
        </w:rPr>
        <w:t xml:space="preserve">updated CVs:  </w:t>
      </w:r>
    </w:p>
    <w:p w:rsidR="004C5FD4" w:rsidRPr="00F229C2" w:rsidRDefault="004C5FD4" w:rsidP="004C5FD4">
      <w:pPr>
        <w:numPr>
          <w:ilvl w:val="1"/>
          <w:numId w:val="9"/>
        </w:numPr>
        <w:spacing w:after="0" w:line="240" w:lineRule="auto"/>
        <w:ind w:left="1080" w:hanging="360"/>
        <w:jc w:val="both"/>
        <w:rPr>
          <w:sz w:val="24"/>
          <w:szCs w:val="24"/>
        </w:rPr>
      </w:pPr>
      <w:r w:rsidRPr="00F229C2">
        <w:rPr>
          <w:sz w:val="24"/>
          <w:szCs w:val="24"/>
        </w:rPr>
        <w:t>The consultant must have at least a Master’s Degree level in a relevant field.</w:t>
      </w:r>
    </w:p>
    <w:p w:rsidR="004C5FD4" w:rsidRPr="00F229C2" w:rsidRDefault="004C5FD4" w:rsidP="004C5FD4">
      <w:pPr>
        <w:numPr>
          <w:ilvl w:val="1"/>
          <w:numId w:val="9"/>
        </w:numPr>
        <w:spacing w:after="0" w:line="240" w:lineRule="auto"/>
        <w:ind w:left="1080" w:hanging="360"/>
        <w:jc w:val="both"/>
        <w:rPr>
          <w:sz w:val="24"/>
          <w:szCs w:val="24"/>
        </w:rPr>
      </w:pPr>
      <w:r w:rsidRPr="00F229C2">
        <w:rPr>
          <w:sz w:val="24"/>
          <w:szCs w:val="24"/>
        </w:rPr>
        <w:t xml:space="preserve">A qualification in Monitoring and Evaluation will be added advantage.  </w:t>
      </w:r>
    </w:p>
    <w:p w:rsidR="004C5FD4" w:rsidRPr="00F229C2" w:rsidRDefault="004C5FD4" w:rsidP="004C5FD4">
      <w:pPr>
        <w:numPr>
          <w:ilvl w:val="1"/>
          <w:numId w:val="9"/>
        </w:numPr>
        <w:spacing w:after="0" w:line="240" w:lineRule="auto"/>
        <w:ind w:left="1080" w:hanging="360"/>
        <w:jc w:val="both"/>
        <w:rPr>
          <w:sz w:val="24"/>
          <w:szCs w:val="24"/>
        </w:rPr>
      </w:pPr>
      <w:r w:rsidRPr="00F229C2">
        <w:rPr>
          <w:sz w:val="24"/>
          <w:szCs w:val="24"/>
        </w:rPr>
        <w:t xml:space="preserve">Significant experience of undertaking similar assignments (can provide certificates of completion).  </w:t>
      </w:r>
    </w:p>
    <w:p w:rsidR="004C5FD4" w:rsidRPr="00F229C2" w:rsidRDefault="0018747A" w:rsidP="004C5FD4">
      <w:pPr>
        <w:numPr>
          <w:ilvl w:val="1"/>
          <w:numId w:val="9"/>
        </w:numPr>
        <w:spacing w:after="0" w:line="240" w:lineRule="auto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At least 5</w:t>
      </w:r>
      <w:r w:rsidR="004C5FD4" w:rsidRPr="00F229C2">
        <w:rPr>
          <w:sz w:val="24"/>
          <w:szCs w:val="24"/>
        </w:rPr>
        <w:t xml:space="preserve"> years’ experience of collecting, analysing and amalgamating geo-spatial data. </w:t>
      </w:r>
    </w:p>
    <w:p w:rsidR="004C5FD4" w:rsidRDefault="004C5FD4" w:rsidP="004C5FD4">
      <w:pPr>
        <w:numPr>
          <w:ilvl w:val="1"/>
          <w:numId w:val="9"/>
        </w:numPr>
        <w:spacing w:after="0" w:line="240" w:lineRule="auto"/>
        <w:ind w:left="1080" w:hanging="360"/>
        <w:jc w:val="both"/>
        <w:rPr>
          <w:sz w:val="24"/>
          <w:szCs w:val="24"/>
        </w:rPr>
      </w:pPr>
      <w:r w:rsidRPr="00F229C2">
        <w:rPr>
          <w:sz w:val="24"/>
          <w:szCs w:val="24"/>
        </w:rPr>
        <w:t xml:space="preserve">Demonstrated ability to work with children.  </w:t>
      </w:r>
    </w:p>
    <w:p w:rsidR="004C5FD4" w:rsidRDefault="004C5FD4" w:rsidP="004C5FD4">
      <w:pPr>
        <w:spacing w:after="0" w:line="240" w:lineRule="auto"/>
        <w:jc w:val="both"/>
        <w:rPr>
          <w:sz w:val="24"/>
          <w:szCs w:val="24"/>
        </w:rPr>
      </w:pPr>
    </w:p>
    <w:p w:rsidR="004C5FD4" w:rsidRDefault="004C5FD4" w:rsidP="004C5FD4">
      <w:pPr>
        <w:spacing w:after="0" w:line="240" w:lineRule="auto"/>
        <w:jc w:val="both"/>
        <w:rPr>
          <w:sz w:val="24"/>
          <w:szCs w:val="24"/>
        </w:rPr>
      </w:pPr>
    </w:p>
    <w:p w:rsidR="004C5FD4" w:rsidRDefault="004C5FD4" w:rsidP="004C5FD4">
      <w:pPr>
        <w:spacing w:after="0" w:line="240" w:lineRule="auto"/>
        <w:jc w:val="both"/>
        <w:rPr>
          <w:sz w:val="24"/>
          <w:szCs w:val="24"/>
        </w:rPr>
      </w:pPr>
    </w:p>
    <w:p w:rsidR="0050287B" w:rsidRDefault="0050287B" w:rsidP="004C5FD4">
      <w:pPr>
        <w:spacing w:after="0" w:line="240" w:lineRule="auto"/>
        <w:jc w:val="both"/>
        <w:rPr>
          <w:sz w:val="24"/>
          <w:szCs w:val="24"/>
        </w:rPr>
      </w:pPr>
    </w:p>
    <w:p w:rsidR="0050287B" w:rsidRDefault="0050287B" w:rsidP="004C5FD4">
      <w:pPr>
        <w:spacing w:after="0" w:line="240" w:lineRule="auto"/>
        <w:jc w:val="both"/>
        <w:rPr>
          <w:sz w:val="24"/>
          <w:szCs w:val="24"/>
        </w:rPr>
      </w:pPr>
    </w:p>
    <w:p w:rsidR="004C5FD4" w:rsidRPr="00F229C2" w:rsidRDefault="004C5FD4" w:rsidP="004C5FD4">
      <w:pPr>
        <w:spacing w:after="0" w:line="240" w:lineRule="auto"/>
        <w:jc w:val="both"/>
        <w:rPr>
          <w:sz w:val="24"/>
          <w:szCs w:val="24"/>
        </w:rPr>
      </w:pPr>
    </w:p>
    <w:p w:rsidR="004C5FD4" w:rsidRPr="00F71A95" w:rsidRDefault="004C5FD4" w:rsidP="004C5FD4">
      <w:pPr>
        <w:spacing w:after="0" w:line="240" w:lineRule="auto"/>
        <w:ind w:left="1080"/>
        <w:rPr>
          <w:color w:val="FF0000"/>
          <w:sz w:val="24"/>
          <w:szCs w:val="24"/>
        </w:rPr>
      </w:pPr>
    </w:p>
    <w:p w:rsidR="004C5FD4" w:rsidRPr="00F229C2" w:rsidRDefault="004C5FD4" w:rsidP="004C5FD4">
      <w:pPr>
        <w:spacing w:after="99" w:line="240" w:lineRule="auto"/>
        <w:ind w:left="360"/>
        <w:rPr>
          <w:color w:val="FF0000"/>
          <w:sz w:val="24"/>
          <w:szCs w:val="24"/>
        </w:rPr>
      </w:pPr>
      <w:r w:rsidRPr="00F229C2">
        <w:rPr>
          <w:b/>
          <w:sz w:val="24"/>
          <w:szCs w:val="24"/>
        </w:rPr>
        <w:t>Mode of payment:</w:t>
      </w:r>
      <w:r w:rsidRPr="00F229C2">
        <w:rPr>
          <w:color w:val="FF0000"/>
          <w:sz w:val="24"/>
          <w:szCs w:val="24"/>
        </w:rPr>
        <w:t xml:space="preserve"> </w:t>
      </w:r>
    </w:p>
    <w:p w:rsidR="004C5FD4" w:rsidRDefault="004C5FD4" w:rsidP="004C5FD4">
      <w:pPr>
        <w:spacing w:line="240" w:lineRule="auto"/>
        <w:ind w:left="360"/>
        <w:rPr>
          <w:sz w:val="24"/>
          <w:szCs w:val="24"/>
        </w:rPr>
      </w:pPr>
      <w:r w:rsidRPr="00B96D06">
        <w:rPr>
          <w:sz w:val="24"/>
          <w:szCs w:val="24"/>
        </w:rPr>
        <w:t xml:space="preserve">Payment will be made in two instalments. 40% payment will be made in advance after signing the contract and remaining 60% will be made after successful delivery and </w:t>
      </w:r>
      <w:r w:rsidR="0050287B">
        <w:rPr>
          <w:sz w:val="24"/>
          <w:szCs w:val="24"/>
        </w:rPr>
        <w:t>acceptance of the final product by the consortium</w:t>
      </w:r>
    </w:p>
    <w:p w:rsidR="0050287B" w:rsidRDefault="0050287B" w:rsidP="004C5FD4">
      <w:pPr>
        <w:spacing w:line="240" w:lineRule="auto"/>
        <w:ind w:left="360"/>
        <w:rPr>
          <w:sz w:val="24"/>
          <w:szCs w:val="24"/>
        </w:rPr>
      </w:pPr>
    </w:p>
    <w:p w:rsidR="0050287B" w:rsidRPr="00B96D06" w:rsidRDefault="00EC26EE" w:rsidP="004C5FD4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Deadline for Submission of proposals:  February 12, 2019 at 4:00pm</w:t>
      </w:r>
    </w:p>
    <w:p w:rsidR="004C5FD4" w:rsidRPr="00C950C5" w:rsidRDefault="004C5FD4" w:rsidP="001070D6">
      <w:pPr>
        <w:rPr>
          <w:rFonts w:cstheme="minorHAnsi"/>
        </w:rPr>
      </w:pPr>
    </w:p>
    <w:sectPr w:rsidR="004C5FD4" w:rsidRPr="00C950C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F04" w:rsidRDefault="00DF7F04" w:rsidP="005C240F">
      <w:pPr>
        <w:spacing w:after="0" w:line="240" w:lineRule="auto"/>
      </w:pPr>
      <w:r>
        <w:separator/>
      </w:r>
    </w:p>
  </w:endnote>
  <w:endnote w:type="continuationSeparator" w:id="0">
    <w:p w:rsidR="00DF7F04" w:rsidRDefault="00DF7F04" w:rsidP="005C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F04" w:rsidRDefault="00DF7F04" w:rsidP="005C240F">
      <w:pPr>
        <w:spacing w:after="0" w:line="240" w:lineRule="auto"/>
      </w:pPr>
      <w:r>
        <w:separator/>
      </w:r>
    </w:p>
  </w:footnote>
  <w:footnote w:type="continuationSeparator" w:id="0">
    <w:p w:rsidR="00DF7F04" w:rsidRDefault="00DF7F04" w:rsidP="005C2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40F" w:rsidRDefault="005C240F" w:rsidP="005C240F">
    <w:pPr>
      <w:pStyle w:val="Header"/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63360" behindDoc="0" locked="0" layoutInCell="1" allowOverlap="1" wp14:anchorId="2EED8F31" wp14:editId="6A9B10B5">
          <wp:simplePos x="0" y="0"/>
          <wp:positionH relativeFrom="margin">
            <wp:align>center</wp:align>
          </wp:positionH>
          <wp:positionV relativeFrom="paragraph">
            <wp:posOffset>-309880</wp:posOffset>
          </wp:positionV>
          <wp:extent cx="1060450" cy="103568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CHO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240F" w:rsidRDefault="005C240F" w:rsidP="005C240F">
    <w:pPr>
      <w:pStyle w:val="Header"/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59DCDBA6" wp14:editId="08E35EBA">
          <wp:simplePos x="0" y="0"/>
          <wp:positionH relativeFrom="column">
            <wp:posOffset>5054600</wp:posOffset>
          </wp:positionH>
          <wp:positionV relativeFrom="paragraph">
            <wp:posOffset>158750</wp:posOffset>
          </wp:positionV>
          <wp:extent cx="1245235" cy="9398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r_child_hollan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235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240F" w:rsidRDefault="005C240F" w:rsidP="005C240F">
    <w:pPr>
      <w:pStyle w:val="Header"/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62336" behindDoc="0" locked="0" layoutInCell="1" allowOverlap="1" wp14:anchorId="15B5BCDF" wp14:editId="781B6C6F">
          <wp:simplePos x="0" y="0"/>
          <wp:positionH relativeFrom="column">
            <wp:posOffset>3581400</wp:posOffset>
          </wp:positionH>
          <wp:positionV relativeFrom="paragraph">
            <wp:posOffset>238125</wp:posOffset>
          </wp:positionV>
          <wp:extent cx="1609725" cy="357505"/>
          <wp:effectExtent l="0" t="0" r="9525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I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357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61312" behindDoc="0" locked="0" layoutInCell="1" allowOverlap="1" wp14:anchorId="4F1BCBB8" wp14:editId="7863332C">
          <wp:simplePos x="0" y="0"/>
          <wp:positionH relativeFrom="column">
            <wp:posOffset>1270000</wp:posOffset>
          </wp:positionH>
          <wp:positionV relativeFrom="paragraph">
            <wp:posOffset>45720</wp:posOffset>
          </wp:positionV>
          <wp:extent cx="931333" cy="8382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0px-Norwegian_Refugee_Council_ENG_logo.gi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333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60288" behindDoc="0" locked="0" layoutInCell="1" allowOverlap="1" wp14:anchorId="10AF1D51" wp14:editId="2904697E">
          <wp:simplePos x="0" y="0"/>
          <wp:positionH relativeFrom="margin">
            <wp:posOffset>-285750</wp:posOffset>
          </wp:positionH>
          <wp:positionV relativeFrom="paragraph">
            <wp:posOffset>149225</wp:posOffset>
          </wp:positionV>
          <wp:extent cx="1019175" cy="582930"/>
          <wp:effectExtent l="0" t="0" r="9525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CA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240F" w:rsidRDefault="005C24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50CC"/>
    <w:multiLevelType w:val="hybridMultilevel"/>
    <w:tmpl w:val="CFB60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92C8E"/>
    <w:multiLevelType w:val="hybridMultilevel"/>
    <w:tmpl w:val="1674D2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977DFE"/>
    <w:multiLevelType w:val="hybridMultilevel"/>
    <w:tmpl w:val="AAD41F74"/>
    <w:lvl w:ilvl="0" w:tplc="AB7E7004">
      <w:start w:val="5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337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37EA57A">
      <w:start w:val="1"/>
      <w:numFmt w:val="bullet"/>
      <w:lvlText w:val="▪"/>
      <w:lvlJc w:val="left"/>
      <w:pPr>
        <w:ind w:left="20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AD42618">
      <w:start w:val="1"/>
      <w:numFmt w:val="bullet"/>
      <w:lvlText w:val="•"/>
      <w:lvlJc w:val="left"/>
      <w:pPr>
        <w:ind w:left="2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8EE667A">
      <w:start w:val="1"/>
      <w:numFmt w:val="bullet"/>
      <w:lvlText w:val="o"/>
      <w:lvlJc w:val="left"/>
      <w:pPr>
        <w:ind w:left="3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B6A4FA8">
      <w:start w:val="1"/>
      <w:numFmt w:val="bullet"/>
      <w:lvlText w:val="▪"/>
      <w:lvlJc w:val="left"/>
      <w:pPr>
        <w:ind w:left="42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340FDD2">
      <w:start w:val="1"/>
      <w:numFmt w:val="bullet"/>
      <w:lvlText w:val="•"/>
      <w:lvlJc w:val="left"/>
      <w:pPr>
        <w:ind w:left="4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59C3F98">
      <w:start w:val="1"/>
      <w:numFmt w:val="bullet"/>
      <w:lvlText w:val="o"/>
      <w:lvlJc w:val="left"/>
      <w:pPr>
        <w:ind w:left="56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0C6C928">
      <w:start w:val="1"/>
      <w:numFmt w:val="bullet"/>
      <w:lvlText w:val="▪"/>
      <w:lvlJc w:val="left"/>
      <w:pPr>
        <w:ind w:left="63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843CCC"/>
    <w:multiLevelType w:val="hybridMultilevel"/>
    <w:tmpl w:val="5EFC6A1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6E6CAF9E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97944"/>
    <w:multiLevelType w:val="hybridMultilevel"/>
    <w:tmpl w:val="3EF6F01C"/>
    <w:lvl w:ilvl="0" w:tplc="99F6046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AC736AE"/>
    <w:multiLevelType w:val="hybridMultilevel"/>
    <w:tmpl w:val="CBFC3F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595989"/>
    <w:multiLevelType w:val="hybridMultilevel"/>
    <w:tmpl w:val="6EE6DE4C"/>
    <w:lvl w:ilvl="0" w:tplc="0409001B">
      <w:start w:val="1"/>
      <w:numFmt w:val="low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 w15:restartNumberingAfterBreak="0">
    <w:nsid w:val="641128EF"/>
    <w:multiLevelType w:val="hybridMultilevel"/>
    <w:tmpl w:val="71A65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15EBC"/>
    <w:multiLevelType w:val="hybridMultilevel"/>
    <w:tmpl w:val="565C84AE"/>
    <w:lvl w:ilvl="0" w:tplc="F1D29B2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0F"/>
    <w:rsid w:val="00073F00"/>
    <w:rsid w:val="001070D6"/>
    <w:rsid w:val="00145DDE"/>
    <w:rsid w:val="0018747A"/>
    <w:rsid w:val="002E1B5E"/>
    <w:rsid w:val="002F7B15"/>
    <w:rsid w:val="00310B4B"/>
    <w:rsid w:val="00364023"/>
    <w:rsid w:val="003C79F1"/>
    <w:rsid w:val="003F1168"/>
    <w:rsid w:val="00471246"/>
    <w:rsid w:val="004C5FD4"/>
    <w:rsid w:val="004C63B6"/>
    <w:rsid w:val="004D7A07"/>
    <w:rsid w:val="0050287B"/>
    <w:rsid w:val="00503F02"/>
    <w:rsid w:val="005049F8"/>
    <w:rsid w:val="00581D58"/>
    <w:rsid w:val="005C240F"/>
    <w:rsid w:val="005E408C"/>
    <w:rsid w:val="0072586C"/>
    <w:rsid w:val="00747F2A"/>
    <w:rsid w:val="0088064D"/>
    <w:rsid w:val="009F1FBB"/>
    <w:rsid w:val="00A86053"/>
    <w:rsid w:val="00AA2E2C"/>
    <w:rsid w:val="00BA126D"/>
    <w:rsid w:val="00BC4847"/>
    <w:rsid w:val="00C950C5"/>
    <w:rsid w:val="00DF083E"/>
    <w:rsid w:val="00DF7117"/>
    <w:rsid w:val="00DF7F04"/>
    <w:rsid w:val="00E249CC"/>
    <w:rsid w:val="00EC26EE"/>
    <w:rsid w:val="00ED0A0F"/>
    <w:rsid w:val="00FA1702"/>
    <w:rsid w:val="00FB6910"/>
    <w:rsid w:val="00FD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8DC455-0532-4A97-B5CF-2A458EBF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40F"/>
  </w:style>
  <w:style w:type="paragraph" w:styleId="Footer">
    <w:name w:val="footer"/>
    <w:basedOn w:val="Normal"/>
    <w:link w:val="FooterChar"/>
    <w:uiPriority w:val="99"/>
    <w:unhideWhenUsed/>
    <w:rsid w:val="005C2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40F"/>
  </w:style>
  <w:style w:type="paragraph" w:styleId="ListParagraph">
    <w:name w:val="List Paragraph"/>
    <w:basedOn w:val="Normal"/>
    <w:uiPriority w:val="34"/>
    <w:qFormat/>
    <w:rsid w:val="00BC4847"/>
    <w:pPr>
      <w:ind w:left="720"/>
      <w:contextualSpacing/>
    </w:pPr>
  </w:style>
  <w:style w:type="paragraph" w:styleId="NoSpacing">
    <w:name w:val="No Spacing"/>
    <w:uiPriority w:val="1"/>
    <w:qFormat/>
    <w:rsid w:val="00FB6910"/>
    <w:pPr>
      <w:spacing w:after="0" w:line="240" w:lineRule="auto"/>
    </w:pPr>
  </w:style>
  <w:style w:type="table" w:customStyle="1" w:styleId="TableGrid">
    <w:name w:val="TableGrid"/>
    <w:rsid w:val="00FD411C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02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Corbishley, Rachael</dc:creator>
  <cp:keywords/>
  <dc:description/>
  <cp:lastModifiedBy>McDonald, Alun</cp:lastModifiedBy>
  <cp:revision>2</cp:revision>
  <dcterms:created xsi:type="dcterms:W3CDTF">2019-01-30T06:10:00Z</dcterms:created>
  <dcterms:modified xsi:type="dcterms:W3CDTF">2019-01-30T06:10:00Z</dcterms:modified>
</cp:coreProperties>
</file>